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DCC9F" w14:textId="4095B69B" w:rsidR="000A72B2" w:rsidRPr="000A72B2" w:rsidRDefault="000A72B2" w:rsidP="000A72B2">
      <w:pPr>
        <w:keepLines/>
        <w:tabs>
          <w:tab w:val="left" w:pos="567"/>
        </w:tabs>
        <w:overflowPunct/>
        <w:autoSpaceDE/>
        <w:autoSpaceDN/>
        <w:snapToGrid w:val="0"/>
        <w:spacing w:after="0"/>
        <w:jc w:val="both"/>
        <w:textAlignment w:val="auto"/>
        <w:rPr>
          <w:rFonts w:ascii="Arial" w:eastAsia="MS Mincho" w:hAnsi="Arial" w:cs="Arial"/>
          <w:b/>
          <w:sz w:val="28"/>
          <w:szCs w:val="28"/>
          <w:lang w:val="en-US" w:eastAsia="en-US"/>
        </w:rPr>
      </w:pPr>
      <w:r w:rsidRPr="000A72B2">
        <w:rPr>
          <w:rFonts w:ascii="Arial" w:eastAsia="宋体" w:hAnsi="Arial" w:cs="Arial"/>
          <w:b/>
          <w:sz w:val="28"/>
          <w:szCs w:val="28"/>
          <w:lang w:val="en-US" w:eastAsia="en-US"/>
        </w:rPr>
        <w:t>3GPP TSG-RAN WG2 Meeting #127</w:t>
      </w:r>
      <w:r w:rsidRPr="000A72B2">
        <w:rPr>
          <w:rFonts w:ascii="Arial" w:eastAsia="宋体" w:hAnsi="Arial" w:cs="Arial"/>
          <w:b/>
          <w:sz w:val="28"/>
          <w:szCs w:val="28"/>
          <w:lang w:val="en-US" w:eastAsia="en-US"/>
        </w:rPr>
        <w:tab/>
      </w:r>
      <w:r w:rsidRPr="000A72B2">
        <w:rPr>
          <w:rFonts w:ascii="Arial" w:eastAsia="宋体" w:hAnsi="Arial" w:cs="Arial"/>
          <w:b/>
          <w:sz w:val="28"/>
          <w:szCs w:val="28"/>
          <w:lang w:val="en-US" w:eastAsia="en-US"/>
        </w:rPr>
        <w:tab/>
      </w:r>
      <w:r w:rsidRPr="000A72B2">
        <w:rPr>
          <w:rFonts w:ascii="Arial" w:eastAsia="宋体" w:hAnsi="Arial" w:cs="Arial"/>
          <w:b/>
          <w:sz w:val="28"/>
          <w:szCs w:val="28"/>
          <w:lang w:val="en-US" w:eastAsia="en-US"/>
        </w:rPr>
        <w:tab/>
      </w:r>
      <w:r w:rsidRPr="000A72B2">
        <w:rPr>
          <w:rFonts w:ascii="Arial" w:eastAsia="MS Mincho" w:hAnsi="Arial" w:cs="Arial" w:hint="eastAsia"/>
          <w:b/>
          <w:sz w:val="28"/>
          <w:szCs w:val="28"/>
          <w:lang w:val="en-US" w:eastAsia="en-US"/>
        </w:rPr>
        <w:tab/>
      </w:r>
      <w:r w:rsidRPr="000A72B2">
        <w:rPr>
          <w:rFonts w:ascii="Arial" w:eastAsia="MS Mincho" w:hAnsi="Arial" w:cs="Arial"/>
          <w:b/>
          <w:sz w:val="28"/>
          <w:szCs w:val="28"/>
          <w:lang w:val="en-US" w:eastAsia="en-US"/>
        </w:rPr>
        <w:tab/>
      </w:r>
      <w:r w:rsidRPr="000A72B2">
        <w:rPr>
          <w:rFonts w:ascii="Arial" w:eastAsia="MS Mincho" w:hAnsi="Arial" w:cs="Arial" w:hint="eastAsia"/>
          <w:b/>
          <w:sz w:val="28"/>
          <w:szCs w:val="28"/>
          <w:lang w:val="en-US" w:eastAsia="en-US"/>
        </w:rPr>
        <w:tab/>
      </w:r>
      <w:r w:rsidRPr="000A72B2">
        <w:rPr>
          <w:rFonts w:ascii="Arial" w:eastAsia="宋体" w:hAnsi="Arial" w:cs="Arial"/>
          <w:b/>
          <w:sz w:val="28"/>
          <w:szCs w:val="28"/>
          <w:lang w:val="en-US" w:eastAsia="en-US"/>
        </w:rPr>
        <w:t>R2-24</w:t>
      </w:r>
      <w:r w:rsidR="000A782D">
        <w:rPr>
          <w:rFonts w:ascii="Arial" w:eastAsia="宋体" w:hAnsi="Arial" w:cs="Arial"/>
          <w:b/>
          <w:sz w:val="28"/>
          <w:szCs w:val="28"/>
          <w:lang w:val="en-US" w:eastAsia="en-US"/>
        </w:rPr>
        <w:t>07334</w:t>
      </w:r>
    </w:p>
    <w:p w14:paraId="6D9FD669" w14:textId="77777777" w:rsidR="000A72B2" w:rsidRPr="000A72B2" w:rsidRDefault="000A72B2" w:rsidP="000A72B2">
      <w:pPr>
        <w:keepLines/>
        <w:tabs>
          <w:tab w:val="left" w:pos="567"/>
        </w:tabs>
        <w:overflowPunct/>
        <w:snapToGrid w:val="0"/>
        <w:spacing w:after="120"/>
        <w:jc w:val="both"/>
        <w:textAlignment w:val="auto"/>
        <w:rPr>
          <w:rFonts w:ascii="Arial" w:eastAsia="宋体" w:hAnsi="Arial" w:cs="Arial"/>
          <w:b/>
          <w:sz w:val="28"/>
          <w:szCs w:val="28"/>
          <w:lang w:val="en-US" w:eastAsia="en-US"/>
        </w:rPr>
      </w:pPr>
      <w:r w:rsidRPr="000A72B2">
        <w:rPr>
          <w:rFonts w:ascii="Arial" w:eastAsia="宋体" w:hAnsi="Arial" w:cs="Arial"/>
          <w:b/>
          <w:sz w:val="28"/>
          <w:szCs w:val="28"/>
          <w:lang w:val="en-US" w:eastAsia="en-US"/>
        </w:rPr>
        <w:t>Maastricht, Netherlands, 19 - 23 August, 2024</w:t>
      </w:r>
    </w:p>
    <w:p w14:paraId="27F17481" w14:textId="77777777" w:rsidR="000A72B2" w:rsidRPr="000A72B2" w:rsidRDefault="000A72B2" w:rsidP="000A72B2">
      <w:pPr>
        <w:tabs>
          <w:tab w:val="center" w:pos="4536"/>
          <w:tab w:val="right" w:pos="8280"/>
          <w:tab w:val="right" w:pos="9781"/>
        </w:tabs>
        <w:overflowPunct/>
        <w:snapToGrid w:val="0"/>
        <w:spacing w:after="120"/>
        <w:ind w:right="-58"/>
        <w:jc w:val="both"/>
        <w:textAlignment w:val="auto"/>
        <w:rPr>
          <w:rFonts w:ascii="Arial" w:eastAsia="MS Mincho" w:hAnsi="Arial" w:cs="Arial"/>
          <w:b/>
          <w:bCs/>
          <w:sz w:val="28"/>
          <w:szCs w:val="22"/>
          <w:lang w:val="en-US" w:eastAsia="ja-JP"/>
        </w:rPr>
      </w:pPr>
    </w:p>
    <w:p w14:paraId="750F442A" w14:textId="1DC8334A" w:rsidR="000A72B2" w:rsidRPr="000A72B2" w:rsidRDefault="000A72B2" w:rsidP="000A72B2">
      <w:pPr>
        <w:tabs>
          <w:tab w:val="left" w:pos="1985"/>
        </w:tabs>
        <w:overflowPunct/>
        <w:snapToGrid w:val="0"/>
        <w:spacing w:after="12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 xml:space="preserve">Title: </w:t>
      </w:r>
      <w:r w:rsidRPr="000A72B2">
        <w:rPr>
          <w:rFonts w:ascii="Arial" w:eastAsia="宋体" w:hAnsi="Arial"/>
          <w:b/>
          <w:sz w:val="24"/>
          <w:szCs w:val="22"/>
          <w:lang w:val="en-US" w:eastAsia="en-US"/>
        </w:rPr>
        <w:tab/>
      </w:r>
      <w:r w:rsidR="00082686" w:rsidRPr="00082686">
        <w:rPr>
          <w:rFonts w:ascii="Arial" w:eastAsia="PMingLiU" w:hAnsi="Arial"/>
          <w:sz w:val="24"/>
          <w:szCs w:val="22"/>
          <w:lang w:val="en-US" w:eastAsia="zh-TW"/>
        </w:rPr>
        <w:t>Discussion on support of the Rel-18 leftovers</w:t>
      </w:r>
    </w:p>
    <w:p w14:paraId="65B6EE26" w14:textId="77777777" w:rsidR="000A72B2" w:rsidRPr="000A72B2" w:rsidRDefault="000A72B2" w:rsidP="000A72B2">
      <w:pPr>
        <w:tabs>
          <w:tab w:val="left" w:pos="1985"/>
        </w:tabs>
        <w:overflowPunct/>
        <w:snapToGrid w:val="0"/>
        <w:spacing w:after="120"/>
        <w:jc w:val="both"/>
        <w:textAlignment w:val="auto"/>
        <w:rPr>
          <w:rFonts w:ascii="Arial" w:eastAsia="PMingLiU" w:hAnsi="Arial"/>
          <w:b/>
          <w:sz w:val="24"/>
          <w:szCs w:val="22"/>
          <w:lang w:val="en-US" w:eastAsia="zh-TW"/>
        </w:rPr>
      </w:pPr>
      <w:r w:rsidRPr="000A72B2">
        <w:rPr>
          <w:rFonts w:ascii="Arial" w:eastAsia="宋体" w:hAnsi="Arial"/>
          <w:b/>
          <w:sz w:val="24"/>
          <w:szCs w:val="22"/>
          <w:lang w:val="en-US" w:eastAsia="en-US"/>
        </w:rPr>
        <w:t xml:space="preserve">Source: </w:t>
      </w:r>
      <w:r w:rsidRPr="000A72B2">
        <w:rPr>
          <w:rFonts w:ascii="Arial" w:eastAsia="宋体" w:hAnsi="Arial"/>
          <w:b/>
          <w:sz w:val="24"/>
          <w:szCs w:val="22"/>
          <w:lang w:val="en-US" w:eastAsia="en-US"/>
        </w:rPr>
        <w:tab/>
      </w:r>
      <w:r w:rsidRPr="000A72B2">
        <w:rPr>
          <w:rFonts w:ascii="Arial" w:eastAsia="PMingLiU" w:hAnsi="Arial"/>
          <w:sz w:val="24"/>
          <w:szCs w:val="22"/>
          <w:lang w:val="en-US" w:eastAsia="zh-TW"/>
        </w:rPr>
        <w:t>Huawei, HiSilicon</w:t>
      </w:r>
    </w:p>
    <w:p w14:paraId="35DB216A" w14:textId="63C51B92" w:rsidR="000A72B2" w:rsidRPr="000A72B2" w:rsidRDefault="000A72B2" w:rsidP="000A72B2">
      <w:pPr>
        <w:tabs>
          <w:tab w:val="left" w:pos="1985"/>
        </w:tabs>
        <w:overflowPunct/>
        <w:snapToGrid w:val="0"/>
        <w:spacing w:after="120"/>
        <w:jc w:val="both"/>
        <w:textAlignment w:val="auto"/>
        <w:rPr>
          <w:rFonts w:ascii="Arial" w:eastAsia="PMingLiU" w:hAnsi="Arial"/>
          <w:b/>
          <w:color w:val="000000"/>
          <w:sz w:val="24"/>
          <w:szCs w:val="22"/>
          <w:lang w:val="en-US" w:eastAsia="zh-TW"/>
        </w:rPr>
      </w:pPr>
      <w:r w:rsidRPr="000A72B2">
        <w:rPr>
          <w:rFonts w:ascii="Arial" w:eastAsia="宋体" w:hAnsi="Arial"/>
          <w:b/>
          <w:sz w:val="24"/>
          <w:szCs w:val="22"/>
          <w:lang w:val="en-US" w:eastAsia="en-US"/>
        </w:rPr>
        <w:t>Agenda item:</w:t>
      </w:r>
      <w:r w:rsidRPr="000A72B2">
        <w:rPr>
          <w:rFonts w:ascii="Arial" w:eastAsia="宋体" w:hAnsi="Arial"/>
          <w:b/>
          <w:sz w:val="24"/>
          <w:szCs w:val="22"/>
          <w:lang w:val="en-US" w:eastAsia="en-US"/>
        </w:rPr>
        <w:tab/>
      </w:r>
      <w:r w:rsidR="00082686">
        <w:rPr>
          <w:rFonts w:ascii="Arial" w:eastAsia="宋体" w:hAnsi="Arial"/>
          <w:sz w:val="24"/>
          <w:szCs w:val="22"/>
          <w:lang w:val="en-US" w:eastAsia="en-US"/>
        </w:rPr>
        <w:t>8</w:t>
      </w:r>
      <w:r w:rsidRPr="000A72B2">
        <w:rPr>
          <w:rFonts w:ascii="Arial" w:eastAsia="宋体" w:hAnsi="Arial"/>
          <w:sz w:val="24"/>
          <w:szCs w:val="22"/>
          <w:lang w:val="en-US" w:eastAsia="en-US"/>
        </w:rPr>
        <w:t>.</w:t>
      </w:r>
      <w:r w:rsidR="00082686">
        <w:rPr>
          <w:rFonts w:ascii="Arial" w:eastAsia="宋体" w:hAnsi="Arial"/>
          <w:sz w:val="24"/>
          <w:szCs w:val="22"/>
          <w:lang w:val="en-US" w:eastAsia="en-US"/>
        </w:rPr>
        <w:t>10.5</w:t>
      </w:r>
    </w:p>
    <w:p w14:paraId="329DB1C8" w14:textId="77777777" w:rsidR="000A72B2" w:rsidRPr="000A72B2" w:rsidRDefault="000A72B2" w:rsidP="000A72B2">
      <w:pPr>
        <w:tabs>
          <w:tab w:val="left" w:pos="1985"/>
        </w:tabs>
        <w:overflowPunct/>
        <w:snapToGrid w:val="0"/>
        <w:spacing w:after="24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Document for:</w:t>
      </w:r>
      <w:r w:rsidRPr="000A72B2">
        <w:rPr>
          <w:rFonts w:ascii="Arial" w:eastAsia="宋体" w:hAnsi="Arial"/>
          <w:b/>
          <w:sz w:val="24"/>
          <w:szCs w:val="22"/>
          <w:lang w:val="en-US" w:eastAsia="en-US"/>
        </w:rPr>
        <w:tab/>
      </w:r>
      <w:r w:rsidRPr="000A72B2">
        <w:rPr>
          <w:rFonts w:ascii="Arial" w:eastAsia="宋体" w:hAnsi="Arial"/>
          <w:sz w:val="24"/>
          <w:szCs w:val="22"/>
          <w:lang w:val="en-US" w:eastAsia="en-US"/>
        </w:rPr>
        <w:t>Discussion/Decision</w:t>
      </w:r>
    </w:p>
    <w:p w14:paraId="69E856B8" w14:textId="77777777" w:rsidR="00A053D1" w:rsidRPr="003F2D43" w:rsidRDefault="00827357">
      <w:pPr>
        <w:pStyle w:val="1"/>
      </w:pPr>
      <w:r w:rsidRPr="003F2D43">
        <w:t>1   Introduction</w:t>
      </w:r>
    </w:p>
    <w:p w14:paraId="21AD53CB" w14:textId="1341D9E9" w:rsidR="00DF0BC6" w:rsidRDefault="00B52CAC" w:rsidP="00DF0BC6">
      <w:pPr>
        <w:spacing w:after="0"/>
        <w:rPr>
          <w:rFonts w:eastAsiaTheme="minorEastAsia"/>
        </w:rPr>
      </w:pPr>
      <w:r>
        <w:rPr>
          <w:rFonts w:eastAsiaTheme="minorEastAsia" w:hint="eastAsia"/>
        </w:rPr>
        <w:t>The</w:t>
      </w:r>
      <w:r>
        <w:rPr>
          <w:rFonts w:eastAsiaTheme="minorEastAsia"/>
        </w:rPr>
        <w:t xml:space="preserve"> RAN2#126 meeting has achieved the following agreements:</w:t>
      </w:r>
    </w:p>
    <w:p w14:paraId="4B328BE7" w14:textId="77777777" w:rsidR="00B52CAC" w:rsidRDefault="00B52CAC" w:rsidP="00B52CAC">
      <w:pPr>
        <w:pStyle w:val="Agreement"/>
      </w:pPr>
      <w:r>
        <w:t xml:space="preserve">For the purpose of SON enhancements for SDT, </w:t>
      </w:r>
      <w:r w:rsidRPr="00303DBF">
        <w:t>includ</w:t>
      </w:r>
      <w:r>
        <w:t>e</w:t>
      </w:r>
      <w:r w:rsidRPr="00303DBF">
        <w:t xml:space="preserve"> RSRP/data volume related information</w:t>
      </w:r>
    </w:p>
    <w:p w14:paraId="6D2E0930" w14:textId="77777777" w:rsidR="00B52CAC" w:rsidRDefault="00B52CAC" w:rsidP="00B52CAC">
      <w:pPr>
        <w:pStyle w:val="Agreement"/>
      </w:pPr>
      <w:r>
        <w:t>Downlink RSRP value and buffered uplink data volume at the time when the UE evaluates if it should perform SDT.</w:t>
      </w:r>
    </w:p>
    <w:p w14:paraId="1A236256" w14:textId="77777777" w:rsidR="00B52CAC" w:rsidRDefault="00B52CAC" w:rsidP="00B52CAC">
      <w:pPr>
        <w:pStyle w:val="Agreement"/>
      </w:pPr>
      <w:r>
        <w:t xml:space="preserve">When SDT failure happens, the UE can indicate the failure cause of SDT to the network, e.g. T319a expiration. Details are TBD, e.g. if RSRP and data volume can also be included in such report. </w:t>
      </w:r>
    </w:p>
    <w:p w14:paraId="0615AF46" w14:textId="77777777" w:rsidR="00B52CAC" w:rsidRDefault="00B52CAC" w:rsidP="00B52CAC">
      <w:pPr>
        <w:pStyle w:val="Agreement"/>
      </w:pPr>
      <w:r>
        <w:t>Reply to RAN3 that we will only do EN-DC. RAN2 understands that whether also supporting (NG)EN-DC has no additional RAN2 impact hence RAN3 can decide. If later we get time we can consider other options.</w:t>
      </w:r>
    </w:p>
    <w:p w14:paraId="60518BD8" w14:textId="77777777" w:rsidR="00B52CAC" w:rsidRPr="00B52CAC" w:rsidRDefault="00B52CAC" w:rsidP="00DF0BC6">
      <w:pPr>
        <w:spacing w:after="0"/>
        <w:rPr>
          <w:rFonts w:eastAsiaTheme="minorEastAsia"/>
        </w:rPr>
      </w:pPr>
    </w:p>
    <w:p w14:paraId="3EEE728D" w14:textId="4F6FBF02"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60DC2">
        <w:rPr>
          <w:rFonts w:eastAsiaTheme="minorEastAsia"/>
        </w:rPr>
        <w:t>the leftover issues from Rel-18 SON</w:t>
      </w:r>
      <w:r w:rsidR="00260DC2">
        <w:rPr>
          <w:rFonts w:eastAsiaTheme="minorEastAsia" w:hint="eastAsia"/>
        </w:rPr>
        <w:t>/</w:t>
      </w:r>
      <w:r w:rsidR="00260DC2">
        <w:rPr>
          <w:rFonts w:eastAsiaTheme="minorEastAsia"/>
        </w:rPr>
        <w:t>MDT</w:t>
      </w:r>
      <w:r w:rsidR="00260DC2">
        <w:rPr>
          <w:rFonts w:eastAsiaTheme="minorEastAsia" w:hint="eastAsia"/>
        </w:rPr>
        <w:t>.</w:t>
      </w:r>
    </w:p>
    <w:p w14:paraId="28A63E0F" w14:textId="7576D570" w:rsidR="004533F4" w:rsidRPr="00686950" w:rsidRDefault="00827357" w:rsidP="00686950">
      <w:pPr>
        <w:pStyle w:val="1"/>
      </w:pPr>
      <w:r w:rsidRPr="003F2D43">
        <w:t>2   Discussion</w:t>
      </w:r>
    </w:p>
    <w:p w14:paraId="7A3DA14B" w14:textId="64A5CCDA" w:rsidR="00260DC2" w:rsidRPr="002B1FAD" w:rsidRDefault="00C1236C" w:rsidP="002B1FAD">
      <w:pPr>
        <w:pStyle w:val="2"/>
        <w:rPr>
          <w:rFonts w:eastAsiaTheme="minorEastAsia"/>
          <w:b/>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260DC2" w:rsidRPr="00E76D9C">
        <w:rPr>
          <w:rFonts w:eastAsia="宋体"/>
        </w:rPr>
        <w:t>RACH optimization for SDT</w:t>
      </w:r>
    </w:p>
    <w:p w14:paraId="0DAFF73B" w14:textId="05D0D49C" w:rsidR="00405DAA" w:rsidRDefault="00DD2B9F" w:rsidP="00260DC2">
      <w:pPr>
        <w:rPr>
          <w:rFonts w:eastAsiaTheme="minorEastAsia"/>
        </w:rPr>
      </w:pPr>
      <w:r>
        <w:rPr>
          <w:rFonts w:eastAsiaTheme="minorEastAsia"/>
        </w:rPr>
        <w:t>RA report for SDT has been standardized in Rel-18, which is one means to detect the SDT related RACH resource issues.</w:t>
      </w:r>
      <w:r w:rsidR="00A756FE" w:rsidRPr="00A756FE">
        <w:rPr>
          <w:rFonts w:eastAsiaTheme="minorEastAsia"/>
        </w:rPr>
        <w:t xml:space="preserve"> </w:t>
      </w:r>
      <w:r>
        <w:rPr>
          <w:rFonts w:eastAsiaTheme="minorEastAsia"/>
        </w:rPr>
        <w:t>The Rel-19 WID allows the further development of RACH optimization for SDT.</w:t>
      </w:r>
    </w:p>
    <w:p w14:paraId="69764E29" w14:textId="10DCCAD5" w:rsidR="0046422D" w:rsidRPr="000B21BC" w:rsidRDefault="00645B3B" w:rsidP="00260DC2">
      <w:pPr>
        <w:rPr>
          <w:rFonts w:eastAsiaTheme="minorEastAsia"/>
        </w:rPr>
      </w:pPr>
      <w:r>
        <w:rPr>
          <w:rFonts w:eastAsiaTheme="minorEastAsia"/>
        </w:rPr>
        <w:t>RAN2 has agreed to introduce the downlink RSRP and buffered data volume at the time of deciding whether to perform SDT or not in order to optimize the condition parameters for</w:t>
      </w:r>
      <w:r w:rsidR="000B21BC">
        <w:rPr>
          <w:rFonts w:eastAsiaTheme="minorEastAsia"/>
        </w:rPr>
        <w:t xml:space="preserve"> triggering the SDT. Some company were also </w:t>
      </w:r>
      <w:r w:rsidR="000B21BC">
        <w:rPr>
          <w:rFonts w:eastAsiaTheme="minorEastAsia" w:hint="eastAsia"/>
        </w:rPr>
        <w:t>interested</w:t>
      </w:r>
      <w:r w:rsidR="000B21BC">
        <w:rPr>
          <w:rFonts w:eastAsiaTheme="minorEastAsia"/>
        </w:rPr>
        <w:t xml:space="preserve"> </w:t>
      </w:r>
      <w:r w:rsidR="000B21BC">
        <w:rPr>
          <w:rFonts w:eastAsiaTheme="minorEastAsia" w:hint="eastAsia"/>
        </w:rPr>
        <w:t>in</w:t>
      </w:r>
      <w:r w:rsidR="000B21BC">
        <w:rPr>
          <w:rFonts w:eastAsiaTheme="minorEastAsia"/>
        </w:rPr>
        <w:t xml:space="preserve"> </w:t>
      </w:r>
      <w:r w:rsidR="000B21BC">
        <w:rPr>
          <w:rFonts w:eastAsiaTheme="minorEastAsia" w:hint="eastAsia"/>
        </w:rPr>
        <w:t>the</w:t>
      </w:r>
      <w:r w:rsidR="000B21BC">
        <w:rPr>
          <w:rFonts w:eastAsiaTheme="minorEastAsia"/>
        </w:rPr>
        <w:t xml:space="preserve"> RSRP </w:t>
      </w:r>
      <w:r w:rsidR="000B21BC">
        <w:rPr>
          <w:rFonts w:eastAsiaTheme="minorEastAsia" w:hint="eastAsia"/>
        </w:rPr>
        <w:t>and</w:t>
      </w:r>
      <w:r w:rsidR="000B21BC">
        <w:rPr>
          <w:rFonts w:eastAsiaTheme="minorEastAsia"/>
        </w:rPr>
        <w:t xml:space="preserve"> </w:t>
      </w:r>
      <w:r w:rsidR="000B21BC">
        <w:rPr>
          <w:rFonts w:eastAsiaTheme="minorEastAsia" w:hint="eastAsia"/>
        </w:rPr>
        <w:t>data</w:t>
      </w:r>
      <w:r w:rsidR="000B21BC">
        <w:rPr>
          <w:rFonts w:eastAsiaTheme="minorEastAsia"/>
        </w:rPr>
        <w:t xml:space="preserve"> volume at the time of SDT failure. Between the time of SDT initiation and SDT failure, the RSRP and buffered data volume may change a lot, which is dynamic random variation. In our understanding, the RSRP value and data volume when SDT failure happens is not helpful for network to adjust the condition parameter for triggering SDT or not.</w:t>
      </w:r>
    </w:p>
    <w:p w14:paraId="4CE76B57" w14:textId="3BF17525" w:rsidR="0046422D" w:rsidRDefault="0046422D" w:rsidP="0046422D">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sidR="000C1486">
        <w:rPr>
          <w:rFonts w:eastAsiaTheme="minorEastAsia"/>
          <w:b/>
        </w:rPr>
        <w:t xml:space="preserve">It is proposed </w:t>
      </w:r>
      <w:r w:rsidR="00DC4E03">
        <w:rPr>
          <w:rFonts w:eastAsiaTheme="minorEastAsia"/>
          <w:b/>
        </w:rPr>
        <w:t>RAN2</w:t>
      </w:r>
      <w:r w:rsidR="000C1486">
        <w:rPr>
          <w:rFonts w:eastAsiaTheme="minorEastAsia"/>
          <w:b/>
        </w:rPr>
        <w:t xml:space="preserve"> to</w:t>
      </w:r>
      <w:r w:rsidR="00DC4E03">
        <w:rPr>
          <w:rFonts w:eastAsiaTheme="minorEastAsia"/>
          <w:b/>
        </w:rPr>
        <w:t xml:space="preserve"> investigate the </w:t>
      </w:r>
      <w:r w:rsidR="00E630FF">
        <w:rPr>
          <w:rFonts w:eastAsiaTheme="minorEastAsia"/>
          <w:b/>
        </w:rPr>
        <w:t>necessity</w:t>
      </w:r>
      <w:r w:rsidR="00DC4E03">
        <w:rPr>
          <w:rFonts w:eastAsiaTheme="minorEastAsia"/>
          <w:b/>
        </w:rPr>
        <w:t xml:space="preserve"> of</w:t>
      </w:r>
      <w:r w:rsidR="00E630FF">
        <w:rPr>
          <w:rFonts w:eastAsiaTheme="minorEastAsia"/>
          <w:b/>
        </w:rPr>
        <w:t xml:space="preserve"> including</w:t>
      </w:r>
      <w:r w:rsidR="00DC4E03">
        <w:rPr>
          <w:rFonts w:eastAsiaTheme="minorEastAsia"/>
          <w:b/>
        </w:rPr>
        <w:t xml:space="preserve"> </w:t>
      </w:r>
      <w:r w:rsidR="00DC4E03" w:rsidRPr="00DC4E03">
        <w:rPr>
          <w:rFonts w:eastAsiaTheme="minorEastAsia"/>
          <w:b/>
        </w:rPr>
        <w:t xml:space="preserve">RSRP threshold and data volume threshold </w:t>
      </w:r>
      <w:r w:rsidR="000B21BC">
        <w:rPr>
          <w:rFonts w:eastAsiaTheme="minorEastAsia"/>
          <w:b/>
        </w:rPr>
        <w:t>when SDT failure happens</w:t>
      </w:r>
      <w:r w:rsidR="00DC4E03">
        <w:rPr>
          <w:rFonts w:eastAsiaTheme="minorEastAsia"/>
          <w:b/>
        </w:rPr>
        <w:t>.</w:t>
      </w:r>
    </w:p>
    <w:p w14:paraId="2C3B4A3F" w14:textId="77777777" w:rsidR="00645B3B" w:rsidRPr="007C589B" w:rsidRDefault="00645B3B" w:rsidP="00645B3B">
      <w:pPr>
        <w:spacing w:after="120"/>
        <w:ind w:rightChars="100" w:right="200"/>
        <w:jc w:val="both"/>
        <w:rPr>
          <w:rFonts w:eastAsiaTheme="minorEastAsia"/>
          <w:b/>
        </w:rPr>
      </w:pPr>
    </w:p>
    <w:p w14:paraId="6DA4D2C1" w14:textId="2F371F7B" w:rsidR="00C4456F" w:rsidRPr="003F2D43" w:rsidRDefault="00C4456F" w:rsidP="00C4456F">
      <w:pPr>
        <w:pStyle w:val="2"/>
        <w:rPr>
          <w:rFonts w:eastAsiaTheme="minorEastAsia"/>
          <w:sz w:val="28"/>
          <w:szCs w:val="22"/>
        </w:rPr>
      </w:pPr>
      <w:r w:rsidRPr="003F2D43">
        <w:rPr>
          <w:rFonts w:eastAsiaTheme="minorEastAsia"/>
          <w:sz w:val="28"/>
          <w:szCs w:val="22"/>
        </w:rPr>
        <w:t>2.</w:t>
      </w:r>
      <w:r w:rsidR="00F3274A">
        <w:rPr>
          <w:rFonts w:eastAsiaTheme="minorEastAsia"/>
          <w:sz w:val="28"/>
          <w:szCs w:val="22"/>
        </w:rPr>
        <w:t>2</w:t>
      </w:r>
      <w:r w:rsidRPr="003F2D43">
        <w:rPr>
          <w:rFonts w:eastAsiaTheme="minorEastAsia"/>
          <w:sz w:val="28"/>
          <w:szCs w:val="22"/>
        </w:rPr>
        <w:t xml:space="preserve"> </w:t>
      </w:r>
      <w:r w:rsidR="00D033FA">
        <w:rPr>
          <w:rFonts w:eastAsiaTheme="minorEastAsia"/>
          <w:sz w:val="28"/>
          <w:szCs w:val="22"/>
        </w:rPr>
        <w:t xml:space="preserve">MRO for </w:t>
      </w:r>
      <w:r w:rsidR="00260DC2">
        <w:rPr>
          <w:rFonts w:eastAsiaTheme="minorEastAsia"/>
          <w:sz w:val="28"/>
          <w:szCs w:val="22"/>
        </w:rPr>
        <w:t xml:space="preserve">MR-DC SCG </w:t>
      </w:r>
      <w:r w:rsidR="00260DC2">
        <w:rPr>
          <w:rFonts w:eastAsiaTheme="minorEastAsia" w:hint="eastAsia"/>
          <w:sz w:val="28"/>
          <w:szCs w:val="22"/>
        </w:rPr>
        <w:t>failure</w:t>
      </w:r>
    </w:p>
    <w:p w14:paraId="20D32BAD" w14:textId="09F57915" w:rsidR="005E51F1" w:rsidRPr="005E51F1" w:rsidRDefault="005E51F1" w:rsidP="005E51F1">
      <w:pPr>
        <w:rPr>
          <w:rFonts w:eastAsiaTheme="minorEastAsia"/>
        </w:rPr>
      </w:pPr>
      <w:r w:rsidRPr="005E51F1">
        <w:rPr>
          <w:rFonts w:eastAsiaTheme="minorEastAsia"/>
        </w:rPr>
        <w:t>Rel-17 SON/MDT WI developed the solution for MRO for NR-DC SCG failures</w:t>
      </w:r>
      <w:r w:rsidR="00045464">
        <w:rPr>
          <w:rFonts w:eastAsiaTheme="minorEastAsia"/>
        </w:rPr>
        <w:t xml:space="preserve"> according to TS 38.331 specification [</w:t>
      </w:r>
      <w:r w:rsidR="00045464" w:rsidRPr="00045464">
        <w:rPr>
          <w:rFonts w:eastAsiaTheme="minorEastAsia"/>
        </w:rPr>
        <w:t>2]</w:t>
      </w:r>
      <w:r w:rsidRPr="005E51F1">
        <w:rPr>
          <w:rFonts w:eastAsiaTheme="minorEastAsia"/>
        </w:rPr>
        <w:t>. In Rel-17, SON/MDT WI considered primarily two SCG failure scenarios as follows:</w:t>
      </w:r>
    </w:p>
    <w:p w14:paraId="603F59B2"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7960F74C"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17ABFB98" w14:textId="0F5A2D70" w:rsidR="00CD56C1" w:rsidRDefault="00CD56C1" w:rsidP="00C80008">
      <w:pPr>
        <w:spacing w:after="120"/>
        <w:ind w:rightChars="100" w:right="200"/>
        <w:jc w:val="both"/>
        <w:rPr>
          <w:rFonts w:eastAsiaTheme="minorEastAsia"/>
          <w:b/>
        </w:rPr>
      </w:pPr>
    </w:p>
    <w:p w14:paraId="451E3ACC" w14:textId="77777777" w:rsidR="00FE0289" w:rsidRPr="006A2163" w:rsidRDefault="00FE0289" w:rsidP="00FE0289">
      <w:pPr>
        <w:spacing w:after="120"/>
        <w:ind w:rightChars="100" w:right="200"/>
        <w:jc w:val="both"/>
        <w:rPr>
          <w:b/>
          <w:u w:val="single"/>
        </w:rPr>
      </w:pPr>
      <w:r w:rsidRPr="006A2163">
        <w:rPr>
          <w:b/>
          <w:u w:val="single"/>
        </w:rPr>
        <w:t>EN-DC</w:t>
      </w:r>
    </w:p>
    <w:p w14:paraId="51E7CEFC" w14:textId="1573C49A" w:rsidR="00FE0289" w:rsidRDefault="00FE0289" w:rsidP="00FE0289">
      <w:pPr>
        <w:spacing w:after="120"/>
        <w:ind w:rightChars="100" w:right="200"/>
        <w:jc w:val="both"/>
      </w:pPr>
      <w:r>
        <w:lastRenderedPageBreak/>
        <w:t xml:space="preserve">For EN-DC scenario, the UE report the NR SCG failure information to LTE MN node, and then the LTM MN node may further forward the NR SCG failure information to NR SN node. The </w:t>
      </w:r>
      <w:r>
        <w:rPr>
          <w:i/>
          <w:noProof/>
        </w:rPr>
        <w:t>SCGFailureInformationNR</w:t>
      </w:r>
      <w:r>
        <w:t xml:space="preserve"> message </w:t>
      </w:r>
      <w:r>
        <w:rPr>
          <w:rFonts w:hint="eastAsia"/>
        </w:rPr>
        <w:t>reported</w:t>
      </w:r>
      <w:r>
        <w:t xml:space="preserve"> from UE to LTE node needs to be enhanced in TS 36.331</w:t>
      </w:r>
      <w:r w:rsidR="009365D9">
        <w:t xml:space="preserve"> </w:t>
      </w:r>
      <w:r>
        <w:t xml:space="preserve">accordingly to align with the </w:t>
      </w:r>
      <w:r>
        <w:rPr>
          <w:i/>
          <w:iCs/>
        </w:rPr>
        <w:t xml:space="preserve">SCGFailureInformation </w:t>
      </w:r>
      <w:r w:rsidRPr="00CD40CF">
        <w:rPr>
          <w:iCs/>
        </w:rPr>
        <w:t>defined</w:t>
      </w:r>
      <w:r>
        <w:rPr>
          <w:i/>
          <w:iCs/>
        </w:rPr>
        <w:t xml:space="preserve"> </w:t>
      </w:r>
      <w:r w:rsidRPr="00A20871">
        <w:rPr>
          <w:iCs/>
        </w:rPr>
        <w:t>in</w:t>
      </w:r>
      <w:r>
        <w:rPr>
          <w:iCs/>
        </w:rPr>
        <w:t xml:space="preserve"> TS 38.331</w:t>
      </w:r>
      <w:r>
        <w:t xml:space="preserve">. </w:t>
      </w:r>
    </w:p>
    <w:p w14:paraId="007EFA5D" w14:textId="6610D2B3" w:rsidR="00FB4A9A" w:rsidRPr="00045CA0" w:rsidRDefault="00FB4A9A" w:rsidP="00FB4A9A">
      <w:pPr>
        <w:pStyle w:val="a9"/>
        <w:spacing w:before="120"/>
        <w:jc w:val="center"/>
        <w:rPr>
          <w:rFonts w:eastAsiaTheme="minorEastAsia"/>
          <w:b/>
        </w:rPr>
      </w:pPr>
      <w:r>
        <w:rPr>
          <w:rFonts w:eastAsiaTheme="minorEastAsia" w:hint="eastAsia"/>
          <w:b/>
        </w:rPr>
        <w:t>Table</w:t>
      </w:r>
      <w:r w:rsidRPr="00045CA0">
        <w:rPr>
          <w:rFonts w:eastAsiaTheme="minorEastAsia"/>
          <w:b/>
        </w:rPr>
        <w:t xml:space="preserve"> </w:t>
      </w:r>
      <w:r>
        <w:rPr>
          <w:rFonts w:eastAsiaTheme="minorEastAsia" w:hint="eastAsia"/>
          <w:b/>
        </w:rPr>
        <w:t xml:space="preserve">1 </w:t>
      </w:r>
      <w:r>
        <w:rPr>
          <w:b/>
        </w:rPr>
        <w:t xml:space="preserve">Enhancement to align with the </w:t>
      </w:r>
      <w:r>
        <w:rPr>
          <w:rFonts w:eastAsiaTheme="minorEastAsia" w:hint="eastAsia"/>
          <w:b/>
        </w:rPr>
        <w:t>N</w:t>
      </w:r>
      <w:r w:rsidRPr="00631B98">
        <w:rPr>
          <w:rFonts w:eastAsiaTheme="minorEastAsia"/>
          <w:b/>
        </w:rPr>
        <w:t>R-DC SCG failure</w:t>
      </w:r>
      <w:r>
        <w:rPr>
          <w:rFonts w:eastAsiaTheme="minorEastAsia" w:hint="eastAsia"/>
          <w:b/>
        </w:rPr>
        <w:t xml:space="preserve"> report </w:t>
      </w:r>
      <w:r>
        <w:rPr>
          <w:b/>
        </w:rPr>
        <w:t>in TS 38.331</w:t>
      </w:r>
    </w:p>
    <w:tbl>
      <w:tblPr>
        <w:tblStyle w:val="af2"/>
        <w:tblW w:w="0" w:type="auto"/>
        <w:jc w:val="center"/>
        <w:tblLook w:val="04A0" w:firstRow="1" w:lastRow="0" w:firstColumn="1" w:lastColumn="0" w:noHBand="0" w:noVBand="1"/>
      </w:tblPr>
      <w:tblGrid>
        <w:gridCol w:w="3510"/>
        <w:gridCol w:w="5012"/>
      </w:tblGrid>
      <w:tr w:rsidR="00FB4A9A" w:rsidRPr="00D079E6" w14:paraId="6AE53862"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2257677B" w14:textId="77777777" w:rsidR="00FB4A9A" w:rsidRPr="00D079E6" w:rsidRDefault="00FB4A9A" w:rsidP="00CD40CF">
            <w:pPr>
              <w:pStyle w:val="a9"/>
              <w:rPr>
                <w:rFonts w:eastAsiaTheme="minorEastAsia"/>
                <w:b/>
              </w:rPr>
            </w:pPr>
            <w:r w:rsidRPr="00D079E6">
              <w:rPr>
                <w:b/>
              </w:rPr>
              <w:t>Parameter</w:t>
            </w:r>
          </w:p>
        </w:tc>
        <w:tc>
          <w:tcPr>
            <w:tcW w:w="5012" w:type="dxa"/>
            <w:tcBorders>
              <w:top w:val="single" w:sz="4" w:space="0" w:color="auto"/>
              <w:left w:val="single" w:sz="4" w:space="0" w:color="auto"/>
              <w:bottom w:val="single" w:sz="4" w:space="0" w:color="auto"/>
              <w:right w:val="single" w:sz="4" w:space="0" w:color="auto"/>
            </w:tcBorders>
            <w:hideMark/>
          </w:tcPr>
          <w:p w14:paraId="0E298BCF" w14:textId="77777777" w:rsidR="00FB4A9A" w:rsidRPr="00D079E6" w:rsidRDefault="00FB4A9A" w:rsidP="00CD40CF">
            <w:pPr>
              <w:pStyle w:val="a9"/>
              <w:rPr>
                <w:rFonts w:eastAsiaTheme="minorEastAsia"/>
                <w:b/>
              </w:rPr>
            </w:pPr>
            <w:r w:rsidRPr="00D079E6">
              <w:rPr>
                <w:b/>
              </w:rPr>
              <w:t>IE/value &amp; condition</w:t>
            </w:r>
          </w:p>
        </w:tc>
      </w:tr>
      <w:tr w:rsidR="00FB4A9A" w:rsidRPr="00D079E6" w14:paraId="5F13E3EA"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76B1084A" w14:textId="77777777" w:rsidR="00FB4A9A" w:rsidRPr="00D079E6" w:rsidRDefault="00FB4A9A" w:rsidP="00CD40CF">
            <w:pPr>
              <w:pStyle w:val="a9"/>
              <w:rPr>
                <w:rFonts w:eastAsiaTheme="minorEastAsia"/>
              </w:rPr>
            </w:pPr>
            <w:r w:rsidRPr="00D079E6">
              <w:rPr>
                <w:rFonts w:eastAsiaTheme="minorEastAsia"/>
              </w:rPr>
              <w:t>failedPSCellId</w:t>
            </w:r>
            <w:r w:rsidRPr="00D079E6">
              <w:t xml:space="preserve"> </w:t>
            </w:r>
          </w:p>
        </w:tc>
        <w:tc>
          <w:tcPr>
            <w:tcW w:w="5012" w:type="dxa"/>
            <w:tcBorders>
              <w:top w:val="single" w:sz="4" w:space="0" w:color="auto"/>
              <w:left w:val="single" w:sz="4" w:space="0" w:color="auto"/>
              <w:bottom w:val="single" w:sz="4" w:space="0" w:color="auto"/>
              <w:right w:val="single" w:sz="4" w:space="0" w:color="auto"/>
            </w:tcBorders>
            <w:hideMark/>
          </w:tcPr>
          <w:p w14:paraId="0097EAB5" w14:textId="77777777" w:rsidR="00FB4A9A" w:rsidRPr="00D079E6" w:rsidRDefault="00FB4A9A" w:rsidP="00CD40CF">
            <w:pPr>
              <w:pStyle w:val="a9"/>
              <w:rPr>
                <w:rFonts w:eastAsiaTheme="minorEastAsia"/>
              </w:rPr>
            </w:pPr>
            <w:r w:rsidRPr="00D079E6">
              <w:t>Frequency and PCI</w:t>
            </w:r>
          </w:p>
        </w:tc>
      </w:tr>
      <w:tr w:rsidR="00FB4A9A" w:rsidRPr="00D079E6" w14:paraId="3BECB1B5"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tcPr>
          <w:p w14:paraId="191B70C3" w14:textId="77777777" w:rsidR="00FB4A9A" w:rsidRPr="00D079E6" w:rsidRDefault="00FB4A9A" w:rsidP="00CD40CF">
            <w:pPr>
              <w:pStyle w:val="a9"/>
            </w:pPr>
            <w:r w:rsidRPr="00D079E6">
              <w:rPr>
                <w:rFonts w:eastAsiaTheme="minorEastAsia"/>
              </w:rPr>
              <w:t>previousPSCellId</w:t>
            </w:r>
          </w:p>
        </w:tc>
        <w:tc>
          <w:tcPr>
            <w:tcW w:w="5012" w:type="dxa"/>
            <w:tcBorders>
              <w:top w:val="single" w:sz="4" w:space="0" w:color="auto"/>
              <w:left w:val="single" w:sz="4" w:space="0" w:color="auto"/>
              <w:bottom w:val="single" w:sz="4" w:space="0" w:color="auto"/>
              <w:right w:val="single" w:sz="4" w:space="0" w:color="auto"/>
            </w:tcBorders>
          </w:tcPr>
          <w:p w14:paraId="4CC1A53B" w14:textId="77777777" w:rsidR="00FB4A9A" w:rsidRPr="00D079E6" w:rsidRDefault="00FB4A9A" w:rsidP="00CD40CF">
            <w:pPr>
              <w:pStyle w:val="a9"/>
            </w:pPr>
            <w:r w:rsidRPr="00D079E6">
              <w:t>Frequency and PCI</w:t>
            </w:r>
          </w:p>
        </w:tc>
      </w:tr>
      <w:tr w:rsidR="00FB4A9A" w:rsidRPr="00D079E6" w14:paraId="0FADA0BE"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026A4E77" w14:textId="77777777" w:rsidR="00FB4A9A" w:rsidRPr="00D079E6" w:rsidRDefault="00FB4A9A" w:rsidP="00CD40CF">
            <w:pPr>
              <w:pStyle w:val="a9"/>
              <w:rPr>
                <w:rFonts w:eastAsiaTheme="minorEastAsia"/>
              </w:rPr>
            </w:pPr>
            <w:r w:rsidRPr="00D079E6">
              <w:rPr>
                <w:rFonts w:eastAsiaTheme="minorEastAsia"/>
              </w:rPr>
              <w:t>timeSCGFailure</w:t>
            </w:r>
          </w:p>
        </w:tc>
        <w:tc>
          <w:tcPr>
            <w:tcW w:w="5012" w:type="dxa"/>
            <w:tcBorders>
              <w:top w:val="single" w:sz="4" w:space="0" w:color="auto"/>
              <w:left w:val="single" w:sz="4" w:space="0" w:color="auto"/>
              <w:bottom w:val="single" w:sz="4" w:space="0" w:color="auto"/>
              <w:right w:val="single" w:sz="4" w:space="0" w:color="auto"/>
            </w:tcBorders>
            <w:hideMark/>
          </w:tcPr>
          <w:p w14:paraId="4350D950" w14:textId="77777777" w:rsidR="00FB4A9A" w:rsidRPr="00D079E6" w:rsidRDefault="00FB4A9A" w:rsidP="00CD40CF">
            <w:pPr>
              <w:pStyle w:val="a9"/>
              <w:rPr>
                <w:rFonts w:eastAsiaTheme="minorEastAsia"/>
              </w:rPr>
            </w:pPr>
            <w:r w:rsidRPr="00D079E6">
              <w:rPr>
                <w:rFonts w:eastAsiaTheme="minorEastAsia"/>
              </w:rPr>
              <w:t>0-1023</w:t>
            </w:r>
          </w:p>
        </w:tc>
      </w:tr>
      <w:tr w:rsidR="00FB4A9A" w:rsidRPr="00D079E6" w14:paraId="29495D56" w14:textId="77777777" w:rsidTr="00CD40CF">
        <w:trPr>
          <w:jc w:val="center"/>
        </w:trPr>
        <w:tc>
          <w:tcPr>
            <w:tcW w:w="3510" w:type="dxa"/>
            <w:tcBorders>
              <w:top w:val="single" w:sz="4" w:space="0" w:color="auto"/>
              <w:left w:val="single" w:sz="4" w:space="0" w:color="auto"/>
              <w:bottom w:val="single" w:sz="4" w:space="0" w:color="auto"/>
              <w:right w:val="single" w:sz="4" w:space="0" w:color="auto"/>
            </w:tcBorders>
            <w:hideMark/>
          </w:tcPr>
          <w:p w14:paraId="12FC58DE" w14:textId="77777777" w:rsidR="00FB4A9A" w:rsidRPr="00D079E6" w:rsidRDefault="00FB4A9A" w:rsidP="00CD40CF">
            <w:pPr>
              <w:pStyle w:val="a9"/>
              <w:rPr>
                <w:rFonts w:eastAsiaTheme="minorEastAsia"/>
              </w:rPr>
            </w:pPr>
            <w:r w:rsidRPr="00D079E6">
              <w:rPr>
                <w:rFonts w:eastAsiaTheme="minorEastAsia"/>
              </w:rPr>
              <w:t>perRAInfoList</w:t>
            </w:r>
          </w:p>
        </w:tc>
        <w:tc>
          <w:tcPr>
            <w:tcW w:w="5012" w:type="dxa"/>
            <w:tcBorders>
              <w:top w:val="single" w:sz="4" w:space="0" w:color="auto"/>
              <w:left w:val="single" w:sz="4" w:space="0" w:color="auto"/>
              <w:bottom w:val="single" w:sz="4" w:space="0" w:color="auto"/>
              <w:right w:val="single" w:sz="4" w:space="0" w:color="auto"/>
            </w:tcBorders>
            <w:hideMark/>
          </w:tcPr>
          <w:p w14:paraId="75E9E6D5" w14:textId="77777777" w:rsidR="00FB4A9A" w:rsidRPr="00D079E6" w:rsidRDefault="00FB4A9A" w:rsidP="00CD40CF">
            <w:pPr>
              <w:pStyle w:val="a9"/>
              <w:rPr>
                <w:rFonts w:eastAsiaTheme="minorEastAsia"/>
              </w:rPr>
            </w:pPr>
            <w:r w:rsidRPr="00D079E6">
              <w:rPr>
                <w:rFonts w:eastAsiaTheme="minorEastAsia"/>
              </w:rPr>
              <w:t xml:space="preserve">Only can be included if </w:t>
            </w:r>
            <w:r w:rsidRPr="00D079E6">
              <w:rPr>
                <w:rFonts w:eastAsiaTheme="minorEastAsia"/>
                <w:i/>
              </w:rPr>
              <w:t>failureType</w:t>
            </w:r>
            <w:r w:rsidRPr="00D079E6">
              <w:t xml:space="preserve"> </w:t>
            </w:r>
            <w:r w:rsidRPr="00D079E6">
              <w:rPr>
                <w:rFonts w:eastAsiaTheme="minorEastAsia"/>
              </w:rPr>
              <w:t xml:space="preserve">is set to </w:t>
            </w:r>
            <w:r w:rsidRPr="00D079E6">
              <w:rPr>
                <w:rFonts w:eastAsiaTheme="minorEastAsia"/>
                <w:i/>
              </w:rPr>
              <w:t>synchReconfigFailureSCG</w:t>
            </w:r>
            <w:r w:rsidRPr="00D079E6">
              <w:rPr>
                <w:rFonts w:eastAsiaTheme="minorEastAsia"/>
              </w:rPr>
              <w:t xml:space="preserve">, or is set to </w:t>
            </w:r>
            <w:r w:rsidRPr="00D079E6">
              <w:rPr>
                <w:rFonts w:eastAsiaTheme="minorEastAsia"/>
                <w:i/>
              </w:rPr>
              <w:t>randomAccessProblem</w:t>
            </w:r>
            <w:r w:rsidRPr="00D079E6">
              <w:rPr>
                <w:rFonts w:eastAsiaTheme="minorEastAsia"/>
              </w:rPr>
              <w:t xml:space="preserve"> </w:t>
            </w:r>
            <w:r w:rsidRPr="00D079E6">
              <w:t>while</w:t>
            </w:r>
            <w:r w:rsidRPr="00D079E6">
              <w:rPr>
                <w:rFonts w:eastAsiaTheme="minorEastAsia"/>
              </w:rPr>
              <w:t xml:space="preserve"> T304 is running</w:t>
            </w:r>
          </w:p>
        </w:tc>
      </w:tr>
    </w:tbl>
    <w:p w14:paraId="5B172D26" w14:textId="77777777" w:rsidR="00FB4A9A" w:rsidRPr="00FB4A9A" w:rsidRDefault="00FB4A9A" w:rsidP="00FE0289">
      <w:pPr>
        <w:spacing w:after="120"/>
        <w:ind w:rightChars="100" w:right="200"/>
        <w:jc w:val="both"/>
        <w:rPr>
          <w:rFonts w:eastAsiaTheme="minorEastAsia"/>
        </w:rPr>
      </w:pPr>
    </w:p>
    <w:p w14:paraId="3B29622D" w14:textId="77777777" w:rsidR="00FE0289" w:rsidRPr="00FE0289" w:rsidRDefault="00FE0289" w:rsidP="00FE0289">
      <w:pPr>
        <w:spacing w:after="120"/>
        <w:ind w:rightChars="100" w:right="200"/>
        <w:jc w:val="both"/>
        <w:rPr>
          <w:b/>
          <w:u w:val="single"/>
        </w:rPr>
      </w:pPr>
      <w:r w:rsidRPr="00FE0289">
        <w:rPr>
          <w:b/>
          <w:u w:val="single"/>
        </w:rPr>
        <w:t>NE-DC</w:t>
      </w:r>
    </w:p>
    <w:p w14:paraId="3FFEFB71" w14:textId="799C1D83" w:rsidR="00645B3B" w:rsidRDefault="00FE0289" w:rsidP="00FE0289">
      <w:pPr>
        <w:rPr>
          <w:lang w:eastAsia="x-none"/>
        </w:rPr>
      </w:pPr>
      <w:r>
        <w:t>For NE-DC scenario, the UE report the LTE SCG failure information to NR MN node, and then the NR MN node may further forward the LTE SCG failure information to LTE SN node</w:t>
      </w:r>
      <w:r>
        <w:rPr>
          <w:rFonts w:hint="eastAsia"/>
        </w:rPr>
        <w:t>.</w:t>
      </w:r>
      <w:r>
        <w:t xml:space="preserve"> Therefore, the </w:t>
      </w:r>
      <w:r>
        <w:rPr>
          <w:i/>
          <w:lang w:eastAsia="x-none"/>
        </w:rPr>
        <w:t>SCGFailureInformationEUTRA</w:t>
      </w:r>
      <w:r>
        <w:rPr>
          <w:lang w:eastAsia="x-none"/>
        </w:rPr>
        <w:t xml:space="preserve"> message </w:t>
      </w:r>
      <w:r>
        <w:t xml:space="preserve">in </w:t>
      </w:r>
      <w:r w:rsidR="00FB4A9A">
        <w:t xml:space="preserve">TS 38.331 </w:t>
      </w:r>
      <w:r>
        <w:rPr>
          <w:lang w:eastAsia="x-none"/>
        </w:rPr>
        <w:t xml:space="preserve">needs to be enhanced accordingly.  </w:t>
      </w:r>
    </w:p>
    <w:p w14:paraId="371C09E3" w14:textId="77777777" w:rsidR="00645B3B" w:rsidRPr="006A2163" w:rsidRDefault="00645B3B" w:rsidP="00645B3B">
      <w:pPr>
        <w:spacing w:after="120"/>
        <w:ind w:rightChars="100" w:right="200"/>
        <w:jc w:val="both"/>
        <w:rPr>
          <w:b/>
          <w:bCs/>
          <w:u w:val="single"/>
        </w:rPr>
      </w:pPr>
      <w:r w:rsidRPr="006A2163">
        <w:rPr>
          <w:b/>
          <w:bCs/>
          <w:szCs w:val="21"/>
          <w:u w:val="single"/>
          <w:lang w:val="en-US"/>
        </w:rPr>
        <w:t>NGEN-DC</w:t>
      </w:r>
    </w:p>
    <w:p w14:paraId="1F25943A" w14:textId="3D9873A0" w:rsidR="00645B3B" w:rsidRDefault="00645B3B" w:rsidP="00645B3B">
      <w:pPr>
        <w:spacing w:after="120"/>
        <w:ind w:rightChars="100" w:right="200"/>
        <w:jc w:val="both"/>
      </w:pPr>
      <w:r>
        <w:rPr>
          <w:szCs w:val="21"/>
          <w:lang w:val="en-US"/>
        </w:rPr>
        <w:t xml:space="preserve">Similar as EN-DC case, the </w:t>
      </w:r>
      <w:r>
        <w:rPr>
          <w:i/>
          <w:noProof/>
        </w:rPr>
        <w:t>SCGFailureInformationNR</w:t>
      </w:r>
      <w:r>
        <w:t xml:space="preserve"> message </w:t>
      </w:r>
      <w:r>
        <w:rPr>
          <w:rFonts w:hint="eastAsia"/>
        </w:rPr>
        <w:t>defined</w:t>
      </w:r>
      <w:r>
        <w:t xml:space="preserve"> in TS 36.331 needs to be enhanced accordingly, as above discussed. </w:t>
      </w:r>
    </w:p>
    <w:p w14:paraId="01BEDD39" w14:textId="70BF6F1F" w:rsidR="00645B3B" w:rsidRPr="00645B3B" w:rsidRDefault="00645B3B" w:rsidP="00645B3B">
      <w:pPr>
        <w:spacing w:after="120"/>
        <w:ind w:rightChars="100" w:right="200"/>
        <w:jc w:val="both"/>
        <w:rPr>
          <w:rFonts w:eastAsiaTheme="minorEastAsia"/>
          <w:b/>
          <w:i/>
        </w:rPr>
      </w:pPr>
      <w:r>
        <w:rPr>
          <w:rFonts w:eastAsiaTheme="minorEastAsia"/>
          <w:b/>
        </w:rPr>
        <w:t xml:space="preserve">Proposal </w:t>
      </w:r>
      <w:r w:rsidR="008672E7">
        <w:rPr>
          <w:rFonts w:eastAsiaTheme="minorEastAsia"/>
          <w:b/>
        </w:rPr>
        <w:t>2</w:t>
      </w:r>
      <w:r w:rsidRPr="00CB7602">
        <w:rPr>
          <w:rFonts w:eastAsiaTheme="minorEastAsia"/>
          <w:b/>
        </w:rPr>
        <w:t xml:space="preserve">: </w:t>
      </w:r>
      <w:r>
        <w:rPr>
          <w:rFonts w:eastAsiaTheme="minorEastAsia"/>
          <w:b/>
        </w:rPr>
        <w:t xml:space="preserve">For EN-DC and NGEN-DC, the same enhancement to </w:t>
      </w:r>
      <w:r w:rsidRPr="00645B3B">
        <w:rPr>
          <w:rFonts w:eastAsiaTheme="minorEastAsia"/>
          <w:b/>
          <w:i/>
        </w:rPr>
        <w:t>SCGFailureInformationNR</w:t>
      </w:r>
      <w:r w:rsidRPr="00645B3B">
        <w:rPr>
          <w:rFonts w:eastAsiaTheme="minorEastAsia"/>
          <w:b/>
        </w:rPr>
        <w:t xml:space="preserve"> message in TS 36.331</w:t>
      </w:r>
      <w:r>
        <w:rPr>
          <w:rFonts w:eastAsiaTheme="minorEastAsia"/>
          <w:b/>
        </w:rPr>
        <w:t xml:space="preserve"> is introduced, i.e., </w:t>
      </w:r>
      <w:r w:rsidRPr="00645B3B">
        <w:rPr>
          <w:rFonts w:eastAsiaTheme="minorEastAsia"/>
          <w:b/>
          <w:i/>
        </w:rPr>
        <w:t>failedPSCellId, previousPSCellId, timeSCGFailure and perRAInfoList.</w:t>
      </w:r>
    </w:p>
    <w:p w14:paraId="46095078" w14:textId="7B16F65D" w:rsidR="00645B3B" w:rsidRDefault="00645B3B" w:rsidP="00645B3B">
      <w:pPr>
        <w:spacing w:after="120"/>
        <w:ind w:rightChars="100" w:right="200"/>
        <w:jc w:val="both"/>
        <w:rPr>
          <w:rFonts w:eastAsiaTheme="minorEastAsia"/>
          <w:b/>
        </w:rPr>
      </w:pPr>
      <w:r>
        <w:rPr>
          <w:rFonts w:eastAsiaTheme="minorEastAsia"/>
          <w:b/>
        </w:rPr>
        <w:t xml:space="preserve">Proposal </w:t>
      </w:r>
      <w:r w:rsidR="008672E7">
        <w:rPr>
          <w:rFonts w:eastAsiaTheme="minorEastAsia"/>
          <w:b/>
        </w:rPr>
        <w:t>3</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sidR="00AB31F0">
        <w:rPr>
          <w:rFonts w:eastAsiaTheme="minorEastAsia"/>
          <w:b/>
          <w:i/>
        </w:rPr>
        <w:t>.</w:t>
      </w:r>
    </w:p>
    <w:p w14:paraId="4B396A51" w14:textId="77777777" w:rsidR="00A053D1" w:rsidRPr="003F2D43" w:rsidRDefault="00827357">
      <w:pPr>
        <w:pStyle w:val="1"/>
      </w:pPr>
      <w:r w:rsidRPr="003F2D43">
        <w:t>3   Conclusion</w:t>
      </w:r>
    </w:p>
    <w:p w14:paraId="6D8BF266" w14:textId="3AF64299"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proposals:</w:t>
      </w:r>
    </w:p>
    <w:p w14:paraId="7B679118" w14:textId="77777777" w:rsidR="00DC4E03" w:rsidRDefault="00DC4E03">
      <w:pPr>
        <w:spacing w:after="0"/>
        <w:rPr>
          <w:rFonts w:eastAsiaTheme="minorEastAsia"/>
        </w:rPr>
      </w:pPr>
    </w:p>
    <w:p w14:paraId="20787623" w14:textId="4F3630F1" w:rsidR="00DC4E03" w:rsidRDefault="00DC4E03">
      <w:pPr>
        <w:spacing w:after="0"/>
        <w:rPr>
          <w:rFonts w:eastAsiaTheme="minorEastAsia"/>
          <w:b/>
          <w:i/>
          <w:u w:val="single"/>
        </w:rPr>
      </w:pPr>
      <w:r>
        <w:rPr>
          <w:rFonts w:eastAsiaTheme="minorEastAsia" w:hint="eastAsia"/>
          <w:b/>
          <w:i/>
          <w:u w:val="single"/>
        </w:rPr>
        <w:t>R</w:t>
      </w:r>
      <w:r>
        <w:rPr>
          <w:rFonts w:eastAsiaTheme="minorEastAsia"/>
          <w:b/>
          <w:i/>
          <w:u w:val="single"/>
        </w:rPr>
        <w:t>ACH optimization for SDT:</w:t>
      </w:r>
    </w:p>
    <w:p w14:paraId="6D00703B" w14:textId="77777777" w:rsidR="00DC4E03" w:rsidRPr="00DC4E03" w:rsidRDefault="00DC4E03">
      <w:pPr>
        <w:spacing w:after="0"/>
        <w:rPr>
          <w:rFonts w:eastAsiaTheme="minorEastAsia"/>
          <w:b/>
          <w:i/>
          <w:u w:val="single"/>
        </w:rPr>
      </w:pPr>
    </w:p>
    <w:p w14:paraId="18234CEB" w14:textId="77777777" w:rsidR="009632FC" w:rsidRDefault="009632FC" w:rsidP="009632FC">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RAN2 to investigate the necessity of including </w:t>
      </w:r>
      <w:r w:rsidRPr="00DC4E03">
        <w:rPr>
          <w:rFonts w:eastAsiaTheme="minorEastAsia"/>
          <w:b/>
        </w:rPr>
        <w:t xml:space="preserve">RSRP threshold and data volume threshold </w:t>
      </w:r>
      <w:r>
        <w:rPr>
          <w:rFonts w:eastAsiaTheme="minorEastAsia"/>
          <w:b/>
        </w:rPr>
        <w:t>when SDT failure happens.</w:t>
      </w:r>
    </w:p>
    <w:p w14:paraId="0FBAEB03" w14:textId="77777777" w:rsidR="00DC1DF2" w:rsidRPr="009632FC" w:rsidRDefault="00DC1DF2" w:rsidP="00DC4E03">
      <w:pPr>
        <w:spacing w:after="120"/>
        <w:ind w:rightChars="100" w:right="200"/>
        <w:jc w:val="both"/>
        <w:rPr>
          <w:rFonts w:eastAsiaTheme="minorEastAsia"/>
          <w:b/>
        </w:rPr>
      </w:pPr>
    </w:p>
    <w:p w14:paraId="53E538E1" w14:textId="42BE763E" w:rsidR="00DC4E03" w:rsidRDefault="00DC4E03" w:rsidP="00DC4E03">
      <w:pPr>
        <w:spacing w:after="0"/>
        <w:rPr>
          <w:rFonts w:eastAsiaTheme="minorEastAsia"/>
          <w:b/>
          <w:i/>
          <w:u w:val="single"/>
        </w:rPr>
      </w:pPr>
      <w:r>
        <w:rPr>
          <w:rFonts w:eastAsiaTheme="minorEastAsia"/>
          <w:b/>
          <w:i/>
          <w:u w:val="single"/>
        </w:rPr>
        <w:t>MRO for MR-DC SCG</w:t>
      </w:r>
      <w:bookmarkStart w:id="0" w:name="_GoBack"/>
      <w:bookmarkEnd w:id="0"/>
      <w:r>
        <w:rPr>
          <w:rFonts w:eastAsiaTheme="minorEastAsia"/>
          <w:b/>
          <w:i/>
          <w:u w:val="single"/>
        </w:rPr>
        <w:t xml:space="preserve"> failure:</w:t>
      </w:r>
    </w:p>
    <w:p w14:paraId="348E587B" w14:textId="77777777" w:rsidR="00DC4E03" w:rsidRPr="00DC4E03" w:rsidRDefault="00DC4E03" w:rsidP="00DC4E03">
      <w:pPr>
        <w:spacing w:after="120"/>
        <w:ind w:rightChars="100" w:right="200"/>
        <w:jc w:val="both"/>
        <w:rPr>
          <w:rFonts w:eastAsiaTheme="minorEastAsia"/>
          <w:b/>
        </w:rPr>
      </w:pPr>
    </w:p>
    <w:p w14:paraId="2EF91705" w14:textId="312B1EBF" w:rsidR="00AB31F0" w:rsidRPr="00645B3B" w:rsidRDefault="00AB31F0" w:rsidP="00AB31F0">
      <w:pPr>
        <w:spacing w:after="120"/>
        <w:ind w:rightChars="100" w:right="200"/>
        <w:jc w:val="both"/>
        <w:rPr>
          <w:rFonts w:eastAsiaTheme="minorEastAsia"/>
          <w:b/>
          <w:i/>
        </w:rPr>
      </w:pPr>
      <w:r>
        <w:rPr>
          <w:rFonts w:eastAsiaTheme="minorEastAsia"/>
          <w:b/>
        </w:rPr>
        <w:t xml:space="preserve">Proposal </w:t>
      </w:r>
      <w:r w:rsidR="008672E7">
        <w:rPr>
          <w:rFonts w:eastAsiaTheme="minorEastAsia"/>
          <w:b/>
        </w:rPr>
        <w:t>2</w:t>
      </w:r>
      <w:r w:rsidRPr="00CB7602">
        <w:rPr>
          <w:rFonts w:eastAsiaTheme="minorEastAsia"/>
          <w:b/>
        </w:rPr>
        <w:t xml:space="preserve">: </w:t>
      </w:r>
      <w:r>
        <w:rPr>
          <w:rFonts w:eastAsiaTheme="minorEastAsia"/>
          <w:b/>
        </w:rPr>
        <w:t xml:space="preserve">For EN-DC and NGEN-DC, the same enhancement to </w:t>
      </w:r>
      <w:r w:rsidRPr="00645B3B">
        <w:rPr>
          <w:rFonts w:eastAsiaTheme="minorEastAsia"/>
          <w:b/>
          <w:i/>
        </w:rPr>
        <w:t>SCGFailureInformationNR</w:t>
      </w:r>
      <w:r w:rsidRPr="00645B3B">
        <w:rPr>
          <w:rFonts w:eastAsiaTheme="minorEastAsia"/>
          <w:b/>
        </w:rPr>
        <w:t xml:space="preserve"> message in TS 36.331</w:t>
      </w:r>
      <w:r>
        <w:rPr>
          <w:rFonts w:eastAsiaTheme="minorEastAsia"/>
          <w:b/>
        </w:rPr>
        <w:t xml:space="preserve"> is introduced, i.e., </w:t>
      </w:r>
      <w:r w:rsidRPr="00645B3B">
        <w:rPr>
          <w:rFonts w:eastAsiaTheme="minorEastAsia"/>
          <w:b/>
          <w:i/>
        </w:rPr>
        <w:t>failedPSCellId, previousPSCellId, timeSCGFailure and perRAInfoList.</w:t>
      </w:r>
    </w:p>
    <w:p w14:paraId="249AA957" w14:textId="5E476225" w:rsidR="001C4E6E" w:rsidRPr="00AB31F0" w:rsidRDefault="00AB31F0" w:rsidP="00AB31F0">
      <w:pPr>
        <w:spacing w:after="120"/>
        <w:ind w:rightChars="100" w:right="200"/>
        <w:jc w:val="both"/>
        <w:rPr>
          <w:rFonts w:eastAsiaTheme="minorEastAsia"/>
          <w:b/>
        </w:rPr>
      </w:pPr>
      <w:r>
        <w:rPr>
          <w:rFonts w:eastAsiaTheme="minorEastAsia"/>
          <w:b/>
        </w:rPr>
        <w:t xml:space="preserve">Proposal </w:t>
      </w:r>
      <w:r w:rsidR="008672E7">
        <w:rPr>
          <w:rFonts w:eastAsiaTheme="minorEastAsia"/>
          <w:b/>
        </w:rPr>
        <w:t>3</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Pr>
          <w:rFonts w:eastAsiaTheme="minorEastAsia"/>
          <w:b/>
          <w:i/>
        </w:rPr>
        <w:t>.</w:t>
      </w:r>
    </w:p>
    <w:sectPr w:rsidR="001C4E6E" w:rsidRPr="00AB31F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D31F5" w14:textId="77777777" w:rsidR="00093090" w:rsidRDefault="00093090">
      <w:pPr>
        <w:spacing w:after="0"/>
      </w:pPr>
      <w:r>
        <w:separator/>
      </w:r>
    </w:p>
  </w:endnote>
  <w:endnote w:type="continuationSeparator" w:id="0">
    <w:p w14:paraId="61877585" w14:textId="77777777" w:rsidR="00093090" w:rsidRDefault="00093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D42E9" w14:textId="77777777" w:rsidR="00093090" w:rsidRDefault="00093090">
      <w:pPr>
        <w:spacing w:after="0"/>
      </w:pPr>
      <w:r>
        <w:separator/>
      </w:r>
    </w:p>
  </w:footnote>
  <w:footnote w:type="continuationSeparator" w:id="0">
    <w:p w14:paraId="1C618273" w14:textId="77777777" w:rsidR="00093090" w:rsidRDefault="000930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746D64"/>
    <w:multiLevelType w:val="hybridMultilevel"/>
    <w:tmpl w:val="E850DE9A"/>
    <w:lvl w:ilvl="0" w:tplc="4A8E7A0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6"/>
    <w:lvlOverride w:ilvl="0">
      <w:startOverride w:val="1"/>
    </w:lvlOverride>
  </w:num>
  <w:num w:numId="4">
    <w:abstractNumId w:val="9"/>
  </w:num>
  <w:num w:numId="5">
    <w:abstractNumId w:val="27"/>
  </w:num>
  <w:num w:numId="6">
    <w:abstractNumId w:val="14"/>
  </w:num>
  <w:num w:numId="7">
    <w:abstractNumId w:val="24"/>
  </w:num>
  <w:num w:numId="8">
    <w:abstractNumId w:val="3"/>
  </w:num>
  <w:num w:numId="9">
    <w:abstractNumId w:val="5"/>
  </w:num>
  <w:num w:numId="10">
    <w:abstractNumId w:val="30"/>
  </w:num>
  <w:num w:numId="11">
    <w:abstractNumId w:val="13"/>
  </w:num>
  <w:num w:numId="12">
    <w:abstractNumId w:val="12"/>
  </w:num>
  <w:num w:numId="13">
    <w:abstractNumId w:val="6"/>
  </w:num>
  <w:num w:numId="14">
    <w:abstractNumId w:val="27"/>
  </w:num>
  <w:num w:numId="15">
    <w:abstractNumId w:val="2"/>
  </w:num>
  <w:num w:numId="16">
    <w:abstractNumId w:val="22"/>
  </w:num>
  <w:num w:numId="17">
    <w:abstractNumId w:val="8"/>
  </w:num>
  <w:num w:numId="18">
    <w:abstractNumId w:val="10"/>
  </w:num>
  <w:num w:numId="19">
    <w:abstractNumId w:val="23"/>
  </w:num>
  <w:num w:numId="20">
    <w:abstractNumId w:val="1"/>
  </w:num>
  <w:num w:numId="21">
    <w:abstractNumId w:val="0"/>
  </w:num>
  <w:num w:numId="22">
    <w:abstractNumId w:val="28"/>
  </w:num>
  <w:num w:numId="23">
    <w:abstractNumId w:val="7"/>
  </w:num>
  <w:num w:numId="24">
    <w:abstractNumId w:val="19"/>
  </w:num>
  <w:num w:numId="25">
    <w:abstractNumId w:val="18"/>
  </w:num>
  <w:num w:numId="26">
    <w:abstractNumId w:val="4"/>
  </w:num>
  <w:num w:numId="27">
    <w:abstractNumId w:val="11"/>
  </w:num>
  <w:num w:numId="28">
    <w:abstractNumId w:val="26"/>
  </w:num>
  <w:num w:numId="29">
    <w:abstractNumId w:val="29"/>
  </w:num>
  <w:num w:numId="30">
    <w:abstractNumId w:val="25"/>
  </w:num>
  <w:num w:numId="31">
    <w:abstractNumId w:val="17"/>
  </w:num>
  <w:num w:numId="32">
    <w:abstractNumId w:val="15"/>
  </w:num>
  <w:num w:numId="33">
    <w:abstractNumId w:val="1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686"/>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090"/>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2B2"/>
    <w:rsid w:val="000A76F5"/>
    <w:rsid w:val="000A782D"/>
    <w:rsid w:val="000B005A"/>
    <w:rsid w:val="000B0B37"/>
    <w:rsid w:val="000B0BD2"/>
    <w:rsid w:val="000B1364"/>
    <w:rsid w:val="000B1395"/>
    <w:rsid w:val="000B176F"/>
    <w:rsid w:val="000B1A08"/>
    <w:rsid w:val="000B1F06"/>
    <w:rsid w:val="000B21BC"/>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6"/>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A34"/>
    <w:rsid w:val="00146C3D"/>
    <w:rsid w:val="00146CA5"/>
    <w:rsid w:val="00147438"/>
    <w:rsid w:val="0014768B"/>
    <w:rsid w:val="00147864"/>
    <w:rsid w:val="00147CD6"/>
    <w:rsid w:val="00147E3E"/>
    <w:rsid w:val="00147F64"/>
    <w:rsid w:val="0015085F"/>
    <w:rsid w:val="00150890"/>
    <w:rsid w:val="001508B3"/>
    <w:rsid w:val="00150D51"/>
    <w:rsid w:val="001512E6"/>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E6E"/>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C7B"/>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A74"/>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6FAC"/>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659D"/>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2BF2"/>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2E0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DAA"/>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9CB"/>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199"/>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B3B"/>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5F01"/>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89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87B"/>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4786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2E7"/>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0DB4"/>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1E4"/>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5D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2FC"/>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1F0"/>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026"/>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2CAC"/>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91E"/>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AB8"/>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697"/>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DF2"/>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811"/>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4E9"/>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0FF"/>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274A"/>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CC9"/>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0B2D"/>
    <w:rsid w:val="00FB1108"/>
    <w:rsid w:val="00FB133A"/>
    <w:rsid w:val="00FB1370"/>
    <w:rsid w:val="00FB14A8"/>
    <w:rsid w:val="00FB19D9"/>
    <w:rsid w:val="00FB29CA"/>
    <w:rsid w:val="00FB2A6C"/>
    <w:rsid w:val="00FB3A0D"/>
    <w:rsid w:val="00FB40BE"/>
    <w:rsid w:val="00FB4250"/>
    <w:rsid w:val="00FB4624"/>
    <w:rsid w:val="00FB4A9A"/>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289"/>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qFormat/>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Bullet"/>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link w:val="ProposalChar"/>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 w:type="character" w:customStyle="1" w:styleId="ProposalChar">
    <w:name w:val="Proposal Char"/>
    <w:link w:val="Proposal"/>
    <w:rsid w:val="00FE0289"/>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8993998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8D041B4-661C-4D1F-A398-05C4C733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650</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 Chen</cp:lastModifiedBy>
  <cp:revision>21</cp:revision>
  <cp:lastPrinted>2014-08-13T09:20:00Z</cp:lastPrinted>
  <dcterms:created xsi:type="dcterms:W3CDTF">2024-08-06T02:04:00Z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(3)auMVrSBzrLBBM2ErR/W22qwCPiD0+/Y8n0Ke/O1Z9bnpzt6R/SOoMb/XFAXlUFO4oBWUS05Y
dnW9gqCD8d4Jn6kUDV7jAk7MrdUu3vqK94dH3KupLsjPmx4KFESgZ1eoAPKxiAP6TjPIhi5S
yq7NPYZiAArXQrjBukt7AYSWWwTa0OPXe4Bf5tLgp3Dso1W1+fZ23KW5uX3NfjUPRIgQ8PFP
eLHD0SQp2l2d0kjRWU</vt:lpwstr>
  </property>
  <property fmtid="{D5CDD505-2E9C-101B-9397-08002B2CF9AE}" pid="3" name="_2015_ms_pID_7253431">
    <vt:lpwstr>YhMw2vLmPwdxWTMtPd9LDZKtAJGBedoOgOKgaBLlVWNhYY9bAs0cJL
L3Ga0KgQn/nPoNYqLbzDgLlGRUvEQ4hPnWYnyCT00up/366Gv/Ib/xuZSW6ncWDe6BP14xLC
JDz58WNglvI/pA+5K+AXH9aHmv5rZld4ZfABvyUAD2J+G2GWpQ+sv1dNH9yvO2etptO74Vbi
xvMpytIbz1G3bV/fTkgdMW0R7XT9munlK12A</vt:lpwstr>
  </property>
  <property fmtid="{D5CDD505-2E9C-101B-9397-08002B2CF9AE}" pid="4" name="KSOProductBuildVer">
    <vt:lpwstr>2052-11.8.2.9022</vt:lpwstr>
  </property>
  <property fmtid="{D5CDD505-2E9C-101B-9397-08002B2CF9AE}" pid="5" name="_2015_ms_pID_7253432">
    <vt:lpwstr>ag==</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